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563F" w14:textId="55B6DBB9" w:rsidR="00A41FED" w:rsidRPr="00A41FED" w:rsidRDefault="00A41FED" w:rsidP="00A41FED">
      <w:pPr>
        <w:pStyle w:val="NormalWeb"/>
        <w:spacing w:before="0" w:beforeAutospacing="0" w:after="0" w:afterAutospacing="0"/>
        <w:jc w:val="center"/>
        <w:rPr>
          <w:rFonts w:ascii="Georgia" w:hAnsi="Georgia" w:cs="Arial"/>
          <w:b/>
          <w:bCs/>
          <w:iCs/>
          <w:sz w:val="32"/>
          <w:szCs w:val="32"/>
        </w:rPr>
      </w:pPr>
      <w:r w:rsidRPr="00A41FED">
        <w:rPr>
          <w:rFonts w:ascii="Georgia" w:hAnsi="Georgia" w:cs="Arial"/>
          <w:b/>
          <w:bCs/>
          <w:iCs/>
          <w:sz w:val="32"/>
          <w:szCs w:val="32"/>
        </w:rPr>
        <w:t>Unit 3 Outline</w:t>
      </w:r>
    </w:p>
    <w:p w14:paraId="63183B12" w14:textId="2B39F624" w:rsidR="00A41FED" w:rsidRPr="00A41FED" w:rsidRDefault="00A41FED" w:rsidP="00A41FED">
      <w:pPr>
        <w:pStyle w:val="NormalWeb"/>
        <w:spacing w:before="0" w:beforeAutospacing="0" w:after="0" w:afterAutospacing="0"/>
        <w:jc w:val="center"/>
        <w:rPr>
          <w:rFonts w:ascii="Georgia" w:hAnsi="Georgia" w:cs="Arial"/>
          <w:b/>
          <w:bCs/>
          <w:sz w:val="32"/>
          <w:szCs w:val="32"/>
        </w:rPr>
      </w:pPr>
      <w:r w:rsidRPr="00A41FED">
        <w:rPr>
          <w:rFonts w:ascii="Georgia" w:hAnsi="Georgia" w:cs="Arial"/>
          <w:b/>
          <w:bCs/>
          <w:iCs/>
          <w:sz w:val="32"/>
          <w:szCs w:val="32"/>
        </w:rPr>
        <w:t>Concepts of Home Ownership</w:t>
      </w:r>
    </w:p>
    <w:p w14:paraId="335281AF" w14:textId="77777777" w:rsidR="00A41FED" w:rsidRDefault="00A41FED" w:rsidP="00A41FED">
      <w:pPr>
        <w:pStyle w:val="blanklineprint"/>
      </w:pPr>
    </w:p>
    <w:p w14:paraId="395F8E12" w14:textId="12437E66" w:rsidR="00A41FED" w:rsidRDefault="00A41FED" w:rsidP="00A41FED">
      <w:pPr>
        <w:pStyle w:val="NormalWeb"/>
        <w:spacing w:before="0" w:beforeAutospacing="0" w:after="0" w:afterAutospacing="0"/>
        <w:rPr>
          <w:b/>
          <w:bCs/>
        </w:rPr>
      </w:pPr>
      <w:r>
        <w:rPr>
          <w:b/>
          <w:bCs/>
        </w:rPr>
        <w:t>Outline</w:t>
      </w:r>
    </w:p>
    <w:p w14:paraId="21DA1D49" w14:textId="77777777" w:rsidR="00A41FED" w:rsidRPr="00807273" w:rsidRDefault="00A41FED" w:rsidP="00A41FED">
      <w:pPr>
        <w:pStyle w:val="RomanNumeral"/>
      </w:pPr>
      <w:r w:rsidRPr="00DB5E7B">
        <w:t>I.</w:t>
      </w:r>
      <w:r w:rsidRPr="00DB5E7B">
        <w:tab/>
        <w:t>Home Ownership</w:t>
      </w:r>
    </w:p>
    <w:p w14:paraId="47A23DB4" w14:textId="77777777" w:rsidR="00A41FED" w:rsidRPr="00807273" w:rsidRDefault="00A41FED" w:rsidP="00A41FED">
      <w:pPr>
        <w:pStyle w:val="NormalWeb"/>
        <w:spacing w:before="0" w:beforeAutospacing="0" w:after="0" w:afterAutospacing="0"/>
        <w:ind w:firstLine="720"/>
      </w:pPr>
      <w:r w:rsidRPr="00807273">
        <w:t>People buy their own homes for psychological as well as financial reasons.</w:t>
      </w:r>
    </w:p>
    <w:p w14:paraId="36260778" w14:textId="77777777" w:rsidR="00A41FED" w:rsidRPr="00807273" w:rsidRDefault="00A41FED" w:rsidP="00A41FED">
      <w:pPr>
        <w:pStyle w:val="CapitalLetter"/>
      </w:pPr>
      <w:r w:rsidRPr="00DB5E7B">
        <w:t>A.</w:t>
      </w:r>
      <w:r w:rsidRPr="00DB5E7B">
        <w:tab/>
        <w:t>Types of Housing</w:t>
      </w:r>
    </w:p>
    <w:p w14:paraId="6BF961B4" w14:textId="77777777" w:rsidR="00A41FED" w:rsidRPr="00807273" w:rsidRDefault="00A41FED" w:rsidP="00A41FED">
      <w:pPr>
        <w:pStyle w:val="Numbers"/>
      </w:pPr>
      <w:r w:rsidRPr="00DB5E7B">
        <w:t>1.</w:t>
      </w:r>
      <w:r w:rsidRPr="00DB5E7B">
        <w:tab/>
        <w:t xml:space="preserve">Apartment complexes </w:t>
      </w:r>
      <w:r w:rsidRPr="00807273">
        <w:t>are groups of apartment buildings with any number of units in each building.</w:t>
      </w:r>
    </w:p>
    <w:p w14:paraId="592631CC" w14:textId="77777777" w:rsidR="00A41FED" w:rsidRPr="00807273" w:rsidRDefault="00A41FED" w:rsidP="00A41FED">
      <w:pPr>
        <w:pStyle w:val="Numbers"/>
      </w:pPr>
      <w:r w:rsidRPr="00DB5E7B">
        <w:t>2.</w:t>
      </w:r>
      <w:r w:rsidRPr="00DB5E7B">
        <w:tab/>
        <w:t xml:space="preserve">Condominiums: </w:t>
      </w:r>
      <w:r w:rsidRPr="00807273">
        <w:t>owners share ownership of common facilities. Management and maintenance of exteriors and common facilities are handled by the governing association and outside contractors, with expenses paid out of monthly assessments.</w:t>
      </w:r>
    </w:p>
    <w:p w14:paraId="29513F3E" w14:textId="77777777" w:rsidR="00A41FED" w:rsidRPr="00807273" w:rsidRDefault="00A41FED" w:rsidP="00A41FED">
      <w:pPr>
        <w:pStyle w:val="Numbers"/>
      </w:pPr>
      <w:r w:rsidRPr="00DB5E7B">
        <w:t>3.</w:t>
      </w:r>
      <w:r w:rsidRPr="00DB5E7B">
        <w:tab/>
        <w:t xml:space="preserve">Cooperatives: </w:t>
      </w:r>
      <w:r w:rsidRPr="00807273">
        <w:t xml:space="preserve">units share common walls and facilities within a larger building. The owners buy shares of stock in the corporation that holds title to the building. Owners of the corporation that owns the building receive proprietary leases that entitle them to occupy </w:t>
      </w:r>
      <w:proofErr w:type="gramStart"/>
      <w:r w:rsidRPr="00807273">
        <w:t>particular units</w:t>
      </w:r>
      <w:proofErr w:type="gramEnd"/>
      <w:r w:rsidRPr="00807273">
        <w:t>.</w:t>
      </w:r>
    </w:p>
    <w:p w14:paraId="2CF40916" w14:textId="77777777" w:rsidR="00A41FED" w:rsidRPr="00807273" w:rsidRDefault="00A41FED" w:rsidP="00A41FED">
      <w:pPr>
        <w:pStyle w:val="Numbers"/>
      </w:pPr>
      <w:r w:rsidRPr="00DB5E7B">
        <w:t>4.</w:t>
      </w:r>
      <w:r w:rsidRPr="00DB5E7B">
        <w:tab/>
        <w:t xml:space="preserve">Planned unit developments </w:t>
      </w:r>
      <w:r w:rsidRPr="00807273">
        <w:t>(PUDs, or master-planned communities) merge residential, recreational, and commercial uses in one self-contained development. PUDs are planned under special zoning ordinances. Owners do not have direct ownership interest in the common areas, which are maintained by a community association.</w:t>
      </w:r>
    </w:p>
    <w:p w14:paraId="290D697C" w14:textId="77777777" w:rsidR="00A41FED" w:rsidRPr="00807273" w:rsidRDefault="00A41FED" w:rsidP="00A41FED">
      <w:pPr>
        <w:pStyle w:val="Numbers"/>
      </w:pPr>
      <w:r w:rsidRPr="00DB5E7B">
        <w:t>5.</w:t>
      </w:r>
      <w:r w:rsidRPr="00DB5E7B">
        <w:tab/>
        <w:t xml:space="preserve">Retirement communities </w:t>
      </w:r>
      <w:r w:rsidRPr="00807273">
        <w:t>(or active adult communities)</w:t>
      </w:r>
      <w:r w:rsidRPr="00DB5E7B">
        <w:t xml:space="preserve"> </w:t>
      </w:r>
      <w:r w:rsidRPr="00807273">
        <w:t>are often structured as PUDs and may provide shopping, recreational opportunities, and health care facilities in addition to residential units.</w:t>
      </w:r>
    </w:p>
    <w:p w14:paraId="02948162" w14:textId="77777777" w:rsidR="00A41FED" w:rsidRPr="00807273" w:rsidRDefault="00A41FED" w:rsidP="00A41FED">
      <w:pPr>
        <w:pStyle w:val="Numbers"/>
      </w:pPr>
      <w:r w:rsidRPr="00DB5E7B">
        <w:t>6.</w:t>
      </w:r>
      <w:r w:rsidRPr="00DB5E7B">
        <w:tab/>
        <w:t>High-rise developments</w:t>
      </w:r>
      <w:r w:rsidRPr="00807273">
        <w:t>,</w:t>
      </w:r>
      <w:r w:rsidRPr="00DB5E7B">
        <w:t xml:space="preserve"> </w:t>
      </w:r>
      <w:r w:rsidRPr="00807273">
        <w:t>sometimes called mixed-use developments (MUDs), combine office space, stores, theaters, and apartment units in a single vertical community and are usually self-contained.</w:t>
      </w:r>
    </w:p>
    <w:p w14:paraId="16343D15" w14:textId="77777777" w:rsidR="00A41FED" w:rsidRPr="00807273" w:rsidRDefault="00A41FED" w:rsidP="00A41FED">
      <w:pPr>
        <w:pStyle w:val="Numbers"/>
      </w:pPr>
      <w:r w:rsidRPr="00DB5E7B">
        <w:t>7.</w:t>
      </w:r>
      <w:r w:rsidRPr="00DB5E7B">
        <w:tab/>
        <w:t>Converted-use properties</w:t>
      </w:r>
      <w:r w:rsidRPr="00807273">
        <w:t xml:space="preserve"> are factories, warehouses, office buildings, hotels, schools, churches, and other structures that have been converted to residential or other uses.</w:t>
      </w:r>
    </w:p>
    <w:p w14:paraId="6D18161C" w14:textId="77777777" w:rsidR="00A41FED" w:rsidRPr="00807273" w:rsidRDefault="00A41FED" w:rsidP="00A41FED">
      <w:pPr>
        <w:pStyle w:val="Numbers"/>
      </w:pPr>
      <w:r w:rsidRPr="00DB5E7B">
        <w:t>8.</w:t>
      </w:r>
      <w:r w:rsidRPr="00DB5E7B">
        <w:tab/>
        <w:t xml:space="preserve">Manufactured housing, </w:t>
      </w:r>
      <w:r w:rsidRPr="00807273">
        <w:t>once considered temporary residences, are often</w:t>
      </w:r>
      <w:r w:rsidRPr="00DB5E7B">
        <w:t xml:space="preserve"> </w:t>
      </w:r>
      <w:r w:rsidRPr="00807273">
        <w:t>permanent residences or stationary vacation homes, situated in housing parks. Housing parks offer complete residential environments with permanent community facilities as well as semi-permanent foundations and hookups for gas, water, and electricity.</w:t>
      </w:r>
    </w:p>
    <w:p w14:paraId="50152BF4" w14:textId="77777777" w:rsidR="00A41FED" w:rsidRPr="00807273" w:rsidRDefault="00A41FED" w:rsidP="00A41FED">
      <w:pPr>
        <w:pStyle w:val="Numbers"/>
      </w:pPr>
      <w:r w:rsidRPr="00DB5E7B">
        <w:t>9.</w:t>
      </w:r>
      <w:r w:rsidRPr="00DB5E7B">
        <w:tab/>
        <w:t xml:space="preserve">Modular homes </w:t>
      </w:r>
      <w:r w:rsidRPr="00807273">
        <w:t>(prefabricated homes)</w:t>
      </w:r>
      <w:r w:rsidRPr="00DB5E7B">
        <w:t xml:space="preserve"> </w:t>
      </w:r>
      <w:r w:rsidRPr="00807273">
        <w:t>are pre-assembled at a factory, driven to the building site on a truck, and then lowered onto a foundation by a crane. Later, workers finish the structure and connect plumbing and wiring.</w:t>
      </w:r>
    </w:p>
    <w:p w14:paraId="57440C2D" w14:textId="77777777" w:rsidR="00A41FED" w:rsidRPr="00807273" w:rsidRDefault="00A41FED" w:rsidP="00A41FED">
      <w:pPr>
        <w:pStyle w:val="Numbers"/>
      </w:pPr>
      <w:r w:rsidRPr="00DB5E7B">
        <w:t>10.</w:t>
      </w:r>
      <w:r w:rsidRPr="00DB5E7B">
        <w:tab/>
        <w:t xml:space="preserve">Time-shares </w:t>
      </w:r>
      <w:r w:rsidRPr="00807273">
        <w:t xml:space="preserve">allow multiple purchasers to share ownership of a single property and entitle them to use the property for a certain </w:t>
      </w:r>
      <w:proofErr w:type="gramStart"/>
      <w:r w:rsidRPr="00807273">
        <w:t>period of time</w:t>
      </w:r>
      <w:proofErr w:type="gramEnd"/>
      <w:r w:rsidRPr="00807273">
        <w:t xml:space="preserve"> each year, usually a specific week.</w:t>
      </w:r>
    </w:p>
    <w:p w14:paraId="689400B3" w14:textId="77777777" w:rsidR="00A41FED" w:rsidRPr="00807273" w:rsidRDefault="00A41FED" w:rsidP="00A41FED">
      <w:pPr>
        <w:pStyle w:val="Numbers"/>
      </w:pPr>
    </w:p>
    <w:p w14:paraId="10EBB184" w14:textId="77777777" w:rsidR="00A41FED" w:rsidRPr="00807273" w:rsidRDefault="00A41FED" w:rsidP="00A41FED">
      <w:pPr>
        <w:pStyle w:val="RomanNumeral"/>
      </w:pPr>
      <w:r w:rsidRPr="00DB5E7B">
        <w:lastRenderedPageBreak/>
        <w:t>II.</w:t>
      </w:r>
      <w:r w:rsidRPr="00DB5E7B">
        <w:tab/>
        <w:t>Housing Affordability</w:t>
      </w:r>
    </w:p>
    <w:p w14:paraId="3D05CA4D" w14:textId="77777777" w:rsidR="00A41FED" w:rsidRPr="00807273" w:rsidRDefault="00A41FED" w:rsidP="00A41FED">
      <w:pPr>
        <w:pStyle w:val="NormalWeb"/>
        <w:spacing w:before="0" w:beforeAutospacing="0" w:after="0" w:afterAutospacing="0"/>
        <w:ind w:left="720"/>
      </w:pPr>
      <w:r w:rsidRPr="00807273">
        <w:t xml:space="preserve">Those who choose home ownership must evaluate many factors before they make a final decision to purchase a particular property. The purchasing decision must be weighed carefully </w:t>
      </w:r>
      <w:proofErr w:type="gramStart"/>
      <w:r w:rsidRPr="00807273">
        <w:t>in light of</w:t>
      </w:r>
      <w:proofErr w:type="gramEnd"/>
      <w:r w:rsidRPr="00807273">
        <w:t xml:space="preserve"> each individual’s financial circumstances.</w:t>
      </w:r>
    </w:p>
    <w:p w14:paraId="222ED267" w14:textId="77777777" w:rsidR="00A41FED" w:rsidRPr="00807273" w:rsidRDefault="00A41FED" w:rsidP="00A41FED">
      <w:pPr>
        <w:pStyle w:val="CapitalLetter"/>
      </w:pPr>
      <w:r w:rsidRPr="00DB5E7B">
        <w:t>A.</w:t>
      </w:r>
      <w:r w:rsidRPr="00DB5E7B">
        <w:tab/>
        <w:t>Mortgage Terms</w:t>
      </w:r>
    </w:p>
    <w:p w14:paraId="794A7881" w14:textId="77777777" w:rsidR="00A41FED" w:rsidRPr="00807273" w:rsidRDefault="00A41FED" w:rsidP="00A41FED">
      <w:pPr>
        <w:pStyle w:val="NormalWeb"/>
        <w:spacing w:before="0" w:beforeAutospacing="0" w:after="0" w:afterAutospacing="0"/>
        <w:ind w:left="1440"/>
      </w:pPr>
      <w:r w:rsidRPr="00807273">
        <w:t>An increasing number of creative mortgage loan programs are being offered by various government agencies and private lenders. Specific programs may offer lower closing costs or deferred interest or principal payments for purchasers in targeted neighborhoods or for first-time buyers.</w:t>
      </w:r>
    </w:p>
    <w:p w14:paraId="38FDEAD2" w14:textId="77777777" w:rsidR="00A41FED" w:rsidRPr="00807273" w:rsidRDefault="00A41FED" w:rsidP="00A41FED">
      <w:pPr>
        <w:pStyle w:val="CapitalLetter"/>
      </w:pPr>
      <w:r w:rsidRPr="00DB5E7B">
        <w:t>B.</w:t>
      </w:r>
      <w:r w:rsidRPr="00DB5E7B">
        <w:tab/>
        <w:t xml:space="preserve">Ownership Expenses and Ability </w:t>
      </w:r>
      <w:proofErr w:type="gramStart"/>
      <w:r w:rsidRPr="00DB5E7B">
        <w:t>To</w:t>
      </w:r>
      <w:proofErr w:type="gramEnd"/>
      <w:r w:rsidRPr="00DB5E7B">
        <w:t xml:space="preserve"> Pay</w:t>
      </w:r>
    </w:p>
    <w:p w14:paraId="00263ACE" w14:textId="77777777" w:rsidR="00A41FED" w:rsidRPr="00807273" w:rsidRDefault="00A41FED" w:rsidP="00A41FED">
      <w:pPr>
        <w:pStyle w:val="Numbers"/>
      </w:pPr>
      <w:r w:rsidRPr="00DB5E7B">
        <w:t>1.</w:t>
      </w:r>
      <w:r w:rsidRPr="00DB5E7B">
        <w:tab/>
        <w:t>“Rule of thumb” formula:</w:t>
      </w:r>
      <w:r w:rsidRPr="00807273">
        <w:t xml:space="preserve"> The monthly cost of buying and maintaining a home (mortgage payments—both principal and interest—plus taxes and insurance impounds), referred to as PITI, should not exceed 28 percent of gross (pretax) monthly income. The payments on all debts should not exceed 36 percent of monthly income. Expenses such as insurance premiums, utilities, and routine medical care are not included in the 36 percent figure but </w:t>
      </w:r>
      <w:proofErr w:type="gramStart"/>
      <w:r w:rsidRPr="00807273">
        <w:t>are considered to be</w:t>
      </w:r>
      <w:proofErr w:type="gramEnd"/>
      <w:r w:rsidRPr="00807273">
        <w:t xml:space="preserve"> covered by the remaining 64 percent.</w:t>
      </w:r>
    </w:p>
    <w:p w14:paraId="55AAB35F" w14:textId="77777777" w:rsidR="00A41FED" w:rsidRPr="00807273" w:rsidRDefault="00A41FED" w:rsidP="00A41FED">
      <w:pPr>
        <w:pStyle w:val="CapitalLetter"/>
      </w:pPr>
      <w:r w:rsidRPr="00DB5E7B">
        <w:t>C.</w:t>
      </w:r>
      <w:r w:rsidRPr="00DB5E7B">
        <w:tab/>
        <w:t>Investment Considerations</w:t>
      </w:r>
    </w:p>
    <w:p w14:paraId="10B028BF" w14:textId="77777777" w:rsidR="00A41FED" w:rsidRPr="00807273" w:rsidRDefault="00A41FED" w:rsidP="00A41FED">
      <w:pPr>
        <w:pStyle w:val="NormalWeb"/>
        <w:spacing w:before="0" w:beforeAutospacing="0" w:after="0" w:afterAutospacing="0"/>
        <w:ind w:left="2160" w:hanging="720"/>
      </w:pPr>
      <w:r>
        <w:t>1.</w:t>
      </w:r>
      <w:r>
        <w:tab/>
      </w:r>
      <w:r w:rsidRPr="00807273">
        <w:t>Gain</w:t>
      </w:r>
    </w:p>
    <w:p w14:paraId="5117D218" w14:textId="77777777" w:rsidR="00A41FED" w:rsidRDefault="00A41FED" w:rsidP="00A41FED">
      <w:pPr>
        <w:pStyle w:val="NormalWeb"/>
        <w:spacing w:before="0" w:beforeAutospacing="0" w:after="0" w:afterAutospacing="0"/>
        <w:ind w:left="1080" w:firstLine="360"/>
      </w:pPr>
      <w:r>
        <w:t>2.</w:t>
      </w:r>
      <w:r w:rsidRPr="00807273">
        <w:tab/>
        <w:t>Equity</w:t>
      </w:r>
    </w:p>
    <w:p w14:paraId="19E3D117" w14:textId="77777777" w:rsidR="00A41FED" w:rsidRDefault="00A41FED" w:rsidP="00A41FED">
      <w:pPr>
        <w:pStyle w:val="NormalWeb"/>
        <w:spacing w:before="0" w:beforeAutospacing="0" w:after="0" w:afterAutospacing="0"/>
        <w:ind w:left="2880" w:hanging="720"/>
      </w:pPr>
      <w:r>
        <w:rPr>
          <w:bCs/>
        </w:rPr>
        <w:t>a.</w:t>
      </w:r>
      <w:r>
        <w:rPr>
          <w:bCs/>
        </w:rPr>
        <w:tab/>
      </w:r>
      <w:r w:rsidRPr="00807273">
        <w:rPr>
          <w:bCs/>
        </w:rPr>
        <w:t xml:space="preserve">Equity </w:t>
      </w:r>
      <w:r w:rsidRPr="00807273">
        <w:t xml:space="preserve">represents market value less indebtedness. Three ways to create equity are: </w:t>
      </w:r>
    </w:p>
    <w:p w14:paraId="53D9282F" w14:textId="77777777" w:rsidR="00A41FED" w:rsidRDefault="00A41FED" w:rsidP="00A41FED">
      <w:pPr>
        <w:pStyle w:val="NormalWeb"/>
        <w:spacing w:before="0" w:beforeAutospacing="0" w:after="0" w:afterAutospacing="0"/>
        <w:ind w:left="2160" w:firstLine="720"/>
      </w:pPr>
      <w:r>
        <w:t>(1)</w:t>
      </w:r>
      <w:r w:rsidRPr="00807273">
        <w:tab/>
        <w:t xml:space="preserve">to make payments on a mortgage loan, </w:t>
      </w:r>
    </w:p>
    <w:p w14:paraId="4CE78231" w14:textId="77777777" w:rsidR="00A41FED" w:rsidRDefault="00A41FED" w:rsidP="00A41FED">
      <w:pPr>
        <w:pStyle w:val="NormalWeb"/>
        <w:spacing w:before="0" w:beforeAutospacing="0" w:after="0" w:afterAutospacing="0"/>
        <w:ind w:left="2160" w:firstLine="720"/>
      </w:pPr>
      <w:r w:rsidRPr="00807273">
        <w:t xml:space="preserve">(2) </w:t>
      </w:r>
      <w:r w:rsidRPr="00807273">
        <w:tab/>
        <w:t xml:space="preserve">to add improvements to the property, </w:t>
      </w:r>
      <w:r w:rsidRPr="00DB5E7B">
        <w:t>and</w:t>
      </w:r>
    </w:p>
    <w:p w14:paraId="687A79F3" w14:textId="77777777" w:rsidR="00A41FED" w:rsidRDefault="00A41FED" w:rsidP="00A41FED">
      <w:pPr>
        <w:pStyle w:val="NormalWeb"/>
        <w:spacing w:before="0" w:beforeAutospacing="0" w:after="0" w:afterAutospacing="0"/>
        <w:ind w:left="2160" w:firstLine="720"/>
      </w:pPr>
      <w:r>
        <w:t>(3)</w:t>
      </w:r>
      <w:r w:rsidRPr="00807273">
        <w:t xml:space="preserve"> </w:t>
      </w:r>
      <w:r w:rsidRPr="00807273">
        <w:tab/>
        <w:t>appreciation.</w:t>
      </w:r>
    </w:p>
    <w:p w14:paraId="3DA54B8D" w14:textId="77777777" w:rsidR="00A41FED" w:rsidRPr="00807273" w:rsidRDefault="00A41FED" w:rsidP="00A41FED">
      <w:pPr>
        <w:pStyle w:val="NormalWeb"/>
        <w:spacing w:before="0" w:beforeAutospacing="0" w:after="0" w:afterAutospacing="0"/>
        <w:ind w:left="2160" w:hanging="720"/>
      </w:pPr>
      <w:r>
        <w:t>3.</w:t>
      </w:r>
      <w:r w:rsidRPr="00807273">
        <w:tab/>
        <w:t>Tax deductions</w:t>
      </w:r>
    </w:p>
    <w:p w14:paraId="095025C3" w14:textId="77777777" w:rsidR="00A41FED" w:rsidRPr="00807273" w:rsidRDefault="00A41FED" w:rsidP="00A41FED">
      <w:pPr>
        <w:pStyle w:val="CapitalLetter"/>
      </w:pPr>
      <w:r w:rsidRPr="00DB5E7B">
        <w:t>D.</w:t>
      </w:r>
      <w:r w:rsidRPr="00DB5E7B">
        <w:tab/>
        <w:t xml:space="preserve">Tax Benefits </w:t>
      </w:r>
    </w:p>
    <w:p w14:paraId="62C54C88" w14:textId="77777777" w:rsidR="00A41FED" w:rsidRPr="00807273" w:rsidRDefault="00A41FED" w:rsidP="00A41FED">
      <w:pPr>
        <w:pStyle w:val="Numbers"/>
      </w:pPr>
      <w:r w:rsidRPr="00DB5E7B">
        <w:t>1.</w:t>
      </w:r>
      <w:r w:rsidRPr="00807273">
        <w:tab/>
        <w:t xml:space="preserve">The federal tax code excludes $250,000 from capital gains tax on the sale of a </w:t>
      </w:r>
      <w:proofErr w:type="gramStart"/>
      <w:r w:rsidRPr="00807273">
        <w:t>principle</w:t>
      </w:r>
      <w:proofErr w:type="gramEnd"/>
      <w:r w:rsidRPr="00807273">
        <w:t xml:space="preserve"> residence. If the property is owned by a married couple that files jointly, they would be eligible for a $500,000 exemption. This exemption may be used repeatedly, </w:t>
      </w:r>
      <w:proofErr w:type="gramStart"/>
      <w:r w:rsidRPr="00807273">
        <w:t>as long as</w:t>
      </w:r>
      <w:proofErr w:type="gramEnd"/>
      <w:r w:rsidRPr="00807273">
        <w:t xml:space="preserve"> the homeowners have occupied the property as their residence for an aggregate of two of the previous five years.</w:t>
      </w:r>
    </w:p>
    <w:p w14:paraId="4615DB11" w14:textId="77777777" w:rsidR="00A41FED" w:rsidRPr="00807273" w:rsidRDefault="00A41FED" w:rsidP="00A41FED">
      <w:pPr>
        <w:pStyle w:val="Numbers"/>
      </w:pPr>
      <w:r w:rsidRPr="00DB5E7B">
        <w:t xml:space="preserve">2. </w:t>
      </w:r>
      <w:r w:rsidRPr="00DB5E7B">
        <w:tab/>
      </w:r>
      <w:r w:rsidRPr="00807273">
        <w:t xml:space="preserve">1031 Exchange—capital gains tax is </w:t>
      </w:r>
      <w:r w:rsidRPr="00807273">
        <w:rPr>
          <w:i/>
        </w:rPr>
        <w:t xml:space="preserve">not </w:t>
      </w:r>
      <w:proofErr w:type="gramStart"/>
      <w:r w:rsidRPr="00807273">
        <w:t>avoided, but</w:t>
      </w:r>
      <w:proofErr w:type="gramEnd"/>
      <w:r w:rsidRPr="00807273">
        <w:t xml:space="preserve"> deferred until the property is later disposed of in a taxable situation.</w:t>
      </w:r>
      <w:r w:rsidRPr="00DB5E7B">
        <w:t xml:space="preserve"> </w:t>
      </w:r>
      <w:r w:rsidRPr="00807273">
        <w:t>Any additional capital or personal property included in the transaction to even out the value of the exchange is called a boot.</w:t>
      </w:r>
    </w:p>
    <w:p w14:paraId="4F81F6F6" w14:textId="77777777" w:rsidR="00A41FED" w:rsidRPr="00807273" w:rsidRDefault="00A41FED" w:rsidP="00A41FED">
      <w:pPr>
        <w:pStyle w:val="Numbers"/>
      </w:pPr>
      <w:r w:rsidRPr="00DB5E7B">
        <w:t>3.</w:t>
      </w:r>
      <w:r w:rsidRPr="00807273">
        <w:tab/>
        <w:t>Homeowners may deduct from their gross income</w:t>
      </w:r>
    </w:p>
    <w:p w14:paraId="47EC28C3" w14:textId="77777777" w:rsidR="00A41FED" w:rsidRDefault="00A41FED" w:rsidP="00A41FED">
      <w:pPr>
        <w:pStyle w:val="NormalWeb"/>
        <w:spacing w:before="0" w:beforeAutospacing="0" w:after="0" w:afterAutospacing="0"/>
        <w:ind w:left="2520" w:hanging="360"/>
      </w:pPr>
      <w:r>
        <w:t>a.</w:t>
      </w:r>
      <w:r>
        <w:tab/>
      </w:r>
      <w:r>
        <w:tab/>
      </w:r>
      <w:r w:rsidRPr="00807273">
        <w:t>mortgage interest payments on most first and second homes,</w:t>
      </w:r>
    </w:p>
    <w:p w14:paraId="49E4A22C" w14:textId="77777777" w:rsidR="00A41FED" w:rsidRDefault="00A41FED" w:rsidP="00A41FED">
      <w:pPr>
        <w:pStyle w:val="NormalWeb"/>
        <w:spacing w:before="0" w:beforeAutospacing="0" w:after="0" w:afterAutospacing="0"/>
        <w:ind w:left="2520" w:hanging="360"/>
      </w:pPr>
      <w:r>
        <w:t>b.</w:t>
      </w:r>
      <w:r>
        <w:tab/>
      </w:r>
      <w:r>
        <w:tab/>
      </w:r>
      <w:r w:rsidRPr="00807273">
        <w:t>real estate taxes (but not interest paid on overdue taxes),</w:t>
      </w:r>
    </w:p>
    <w:p w14:paraId="632E49F3" w14:textId="77777777" w:rsidR="00A41FED" w:rsidRDefault="00A41FED" w:rsidP="00A41FED">
      <w:pPr>
        <w:pStyle w:val="NormalWeb"/>
        <w:spacing w:before="0" w:beforeAutospacing="0" w:after="0" w:afterAutospacing="0"/>
        <w:ind w:left="2520" w:hanging="360"/>
      </w:pPr>
      <w:r>
        <w:t>c.</w:t>
      </w:r>
      <w:r>
        <w:tab/>
      </w:r>
      <w:r>
        <w:tab/>
      </w:r>
      <w:r w:rsidRPr="00807273">
        <w:t>certain loan origination fees,</w:t>
      </w:r>
    </w:p>
    <w:p w14:paraId="01D7D290" w14:textId="77777777" w:rsidR="00A41FED" w:rsidRDefault="00A41FED" w:rsidP="00A41FED">
      <w:pPr>
        <w:pStyle w:val="NormalWeb"/>
        <w:spacing w:before="0" w:beforeAutospacing="0" w:after="0" w:afterAutospacing="0"/>
        <w:ind w:left="2520" w:hanging="360"/>
      </w:pPr>
      <w:r w:rsidRPr="00A21A42">
        <w:t>d.</w:t>
      </w:r>
      <w:r w:rsidRPr="00A21A42">
        <w:tab/>
      </w:r>
      <w:r w:rsidRPr="00A21A42">
        <w:tab/>
      </w:r>
      <w:r>
        <w:t>loan discount points (whether paid by the buyer or the seller), and</w:t>
      </w:r>
    </w:p>
    <w:p w14:paraId="4FB58546" w14:textId="77777777" w:rsidR="00A41FED" w:rsidRDefault="00A41FED" w:rsidP="00A41FED">
      <w:pPr>
        <w:pStyle w:val="NormalWeb"/>
        <w:spacing w:before="0" w:beforeAutospacing="0" w:after="0" w:afterAutospacing="0"/>
        <w:ind w:left="2520" w:hanging="360"/>
      </w:pPr>
      <w:r>
        <w:t>e.</w:t>
      </w:r>
      <w:r>
        <w:tab/>
      </w:r>
      <w:r>
        <w:tab/>
      </w:r>
      <w:r w:rsidRPr="00807273">
        <w:t>loan prepayment penalties.</w:t>
      </w:r>
    </w:p>
    <w:p w14:paraId="01C6B9A9" w14:textId="77777777" w:rsidR="00A41FED" w:rsidRPr="00807273" w:rsidRDefault="00A41FED" w:rsidP="00A41FED">
      <w:pPr>
        <w:pStyle w:val="Numbers"/>
      </w:pPr>
      <w:r w:rsidRPr="00DB5E7B">
        <w:lastRenderedPageBreak/>
        <w:t>4.</w:t>
      </w:r>
      <w:r w:rsidRPr="00807273">
        <w:tab/>
        <w:t>When homeowners fix up their property in preparation for its sale, the homeowners may deduct certain expenses in determining the adjusted sales price for capital gains purposes.</w:t>
      </w:r>
    </w:p>
    <w:p w14:paraId="3FCD29BD" w14:textId="77777777" w:rsidR="00A41FED" w:rsidRPr="00807273" w:rsidRDefault="00A41FED" w:rsidP="00A41FED">
      <w:pPr>
        <w:pStyle w:val="Numbers"/>
      </w:pPr>
      <w:r w:rsidRPr="00DB5E7B">
        <w:t>5.</w:t>
      </w:r>
      <w:r w:rsidRPr="00807273">
        <w:tab/>
        <w:t>The cost of materials such as paint, carpeting and wallpaper, and other repairs may be deducted from gain if the expense meets specific IRS requirements.</w:t>
      </w:r>
    </w:p>
    <w:p w14:paraId="3CC70AFC" w14:textId="77777777" w:rsidR="00A41FED" w:rsidRPr="00807273" w:rsidRDefault="00A41FED" w:rsidP="00A41FED">
      <w:pPr>
        <w:pStyle w:val="Numbers"/>
      </w:pPr>
    </w:p>
    <w:p w14:paraId="3AFD2F6D" w14:textId="77777777" w:rsidR="00A41FED" w:rsidRPr="00807273" w:rsidRDefault="00A41FED" w:rsidP="00A41FED">
      <w:pPr>
        <w:pStyle w:val="RomanNumeral"/>
      </w:pPr>
      <w:r w:rsidRPr="00DB5E7B">
        <w:t>III.</w:t>
      </w:r>
      <w:r w:rsidRPr="00DB5E7B">
        <w:tab/>
        <w:t>Homeowners Insurance</w:t>
      </w:r>
    </w:p>
    <w:p w14:paraId="1E11462F" w14:textId="77777777" w:rsidR="00A41FED" w:rsidRPr="00807273" w:rsidRDefault="00A41FED" w:rsidP="00A41FED">
      <w:pPr>
        <w:pStyle w:val="NormalWeb"/>
        <w:spacing w:before="0" w:beforeAutospacing="0" w:after="0" w:afterAutospacing="0"/>
        <w:ind w:left="720"/>
      </w:pPr>
      <w:r w:rsidRPr="00807273">
        <w:t>Lenders usually require a homeowner to obtain insurance when the debt is secured by the property.</w:t>
      </w:r>
    </w:p>
    <w:p w14:paraId="17BE4DE5" w14:textId="77777777" w:rsidR="00A41FED" w:rsidRPr="00807273" w:rsidRDefault="00A41FED" w:rsidP="00A41FED">
      <w:pPr>
        <w:pStyle w:val="CapitalLetter"/>
      </w:pPr>
      <w:r w:rsidRPr="00DB5E7B">
        <w:t>A.</w:t>
      </w:r>
      <w:r w:rsidRPr="00DB5E7B">
        <w:tab/>
        <w:t>Coverage and Claims</w:t>
      </w:r>
    </w:p>
    <w:p w14:paraId="7ABF1557" w14:textId="77777777" w:rsidR="00A41FED" w:rsidRPr="00807273" w:rsidRDefault="00A41FED" w:rsidP="00A41FED">
      <w:pPr>
        <w:pStyle w:val="Numbers"/>
      </w:pPr>
      <w:r w:rsidRPr="00DB5E7B">
        <w:t>1.</w:t>
      </w:r>
      <w:r w:rsidRPr="00DB5E7B">
        <w:tab/>
        <w:t xml:space="preserve">Basic form </w:t>
      </w:r>
      <w:r w:rsidRPr="00807273">
        <w:t>provides property coverage against fire and lightning, glass breakage, windstorm and hail, explosion, riot and civil commotion, damage by aircraft, damage from vehicles, damage from smoke, vandalism and malicious mischief theft, and loss of property removed from the premises when it is endangered by fire or other perils.</w:t>
      </w:r>
    </w:p>
    <w:p w14:paraId="0FA2B1EE" w14:textId="77777777" w:rsidR="00A41FED" w:rsidRPr="00807273" w:rsidRDefault="00A41FED" w:rsidP="00A41FED">
      <w:pPr>
        <w:pStyle w:val="Numbers"/>
      </w:pPr>
      <w:r w:rsidRPr="00DB5E7B">
        <w:t>2.</w:t>
      </w:r>
      <w:r w:rsidRPr="00DB5E7B">
        <w:tab/>
        <w:t xml:space="preserve">Broad-form </w:t>
      </w:r>
      <w:r w:rsidRPr="00807273">
        <w:t>additionally covers falling objects; damage due to the weight of ice, snow, or sleet; collapse of all or part of the building; bursting, cracking, burning, or bulging of a steam or hot water heating system or of appliances used to heat water; accidental discharge, leakage, or overflow of water or steam from within a plumbing, heating, or air-conditioning system; freezing of plumbing, heating, and air-conditioning systems and domestic appliances; and injury to electrical appliances, devices, fixtures, and wiring from short circuits or other accidentally generated currents.</w:t>
      </w:r>
    </w:p>
    <w:p w14:paraId="6F90ACBB" w14:textId="77777777" w:rsidR="00A41FED" w:rsidRPr="00807273" w:rsidRDefault="00A41FED" w:rsidP="00A41FED">
      <w:pPr>
        <w:pStyle w:val="Numbers"/>
      </w:pPr>
      <w:r w:rsidRPr="00DB5E7B">
        <w:t>3.</w:t>
      </w:r>
      <w:r w:rsidRPr="00DB5E7B">
        <w:tab/>
        <w:t xml:space="preserve">Special apartment and condominium policies </w:t>
      </w:r>
      <w:r w:rsidRPr="00807273">
        <w:t>generally provide fire and windstorm, theft, and public liability coverage for injuries or losses sustained within the unit. However, they do not usually cover losses or damages to the structure.</w:t>
      </w:r>
    </w:p>
    <w:p w14:paraId="1C3F87C2" w14:textId="77777777" w:rsidR="00A41FED" w:rsidRPr="00807273" w:rsidRDefault="00A41FED" w:rsidP="00A41FED">
      <w:pPr>
        <w:pStyle w:val="CapitalLetter"/>
      </w:pPr>
      <w:r w:rsidRPr="00DB5E7B">
        <w:t>B.</w:t>
      </w:r>
      <w:r w:rsidRPr="00DB5E7B">
        <w:tab/>
        <w:t>Coinsurance clause</w:t>
      </w:r>
      <w:r w:rsidRPr="00807273">
        <w:t xml:space="preserve"> requires the owner to maintain insurance equal to at least 80 percent of the replacement cost of the dwelling (not including the price of the land).</w:t>
      </w:r>
    </w:p>
    <w:p w14:paraId="4C47E0D6" w14:textId="77777777" w:rsidR="00A41FED" w:rsidRDefault="00A41FED" w:rsidP="00A41FED">
      <w:pPr>
        <w:pStyle w:val="CapitalLetter"/>
      </w:pPr>
    </w:p>
    <w:p w14:paraId="7C8956E4" w14:textId="77777777" w:rsidR="00A41FED" w:rsidRPr="00807273" w:rsidRDefault="00A41FED" w:rsidP="00A41FED">
      <w:pPr>
        <w:pStyle w:val="RomanNumeral"/>
      </w:pPr>
      <w:r w:rsidRPr="00DB5E7B">
        <w:t>IV.</w:t>
      </w:r>
      <w:r w:rsidRPr="00DB5E7B">
        <w:tab/>
        <w:t>Federal Flood Insurance Program</w:t>
      </w:r>
    </w:p>
    <w:p w14:paraId="3BD77146" w14:textId="77777777" w:rsidR="00A41FED" w:rsidRPr="00807273" w:rsidRDefault="00A41FED" w:rsidP="00A41FED">
      <w:pPr>
        <w:pStyle w:val="CapitalLetter"/>
      </w:pPr>
      <w:r w:rsidRPr="00DB5E7B">
        <w:t>A.</w:t>
      </w:r>
      <w:r w:rsidRPr="00DB5E7B">
        <w:tab/>
      </w:r>
      <w:r w:rsidRPr="00807273">
        <w:t>Congress enacted the</w:t>
      </w:r>
      <w:r w:rsidRPr="00DB5E7B">
        <w:t xml:space="preserve"> National Flood Insurance Act of 1968</w:t>
      </w:r>
      <w:r w:rsidRPr="00807273">
        <w:t xml:space="preserve"> to help owners of property in flood-prone areas by subsidizing flood insurance and by taking land-use and land-control measures to improve future management for floodplain areas.</w:t>
      </w:r>
    </w:p>
    <w:p w14:paraId="53215B6D" w14:textId="77777777" w:rsidR="00A41FED" w:rsidRPr="00807273" w:rsidRDefault="00A41FED" w:rsidP="00A41FED">
      <w:pPr>
        <w:pStyle w:val="CapitalLetter"/>
      </w:pPr>
      <w:r w:rsidRPr="00DB5E7B">
        <w:t>B.</w:t>
      </w:r>
      <w:r w:rsidRPr="00DB5E7B">
        <w:tab/>
      </w:r>
      <w:r w:rsidRPr="00807273">
        <w:t>The</w:t>
      </w:r>
      <w:r w:rsidRPr="00DB5E7B">
        <w:t xml:space="preserve"> Federal Emergency Management Agency (FEMA) </w:t>
      </w:r>
      <w:r w:rsidRPr="00807273">
        <w:t>administers the flood program.</w:t>
      </w:r>
    </w:p>
    <w:p w14:paraId="41BD4C00" w14:textId="77777777" w:rsidR="00A41FED" w:rsidRPr="00807273" w:rsidRDefault="00A41FED" w:rsidP="00A41FED">
      <w:pPr>
        <w:pStyle w:val="CapitalLetter"/>
      </w:pPr>
      <w:r w:rsidRPr="00DB5E7B">
        <w:t>C.</w:t>
      </w:r>
      <w:r w:rsidRPr="00DB5E7B">
        <w:tab/>
      </w:r>
      <w:r w:rsidRPr="00807273">
        <w:t xml:space="preserve">Owners in flood-prone areas must obtain flood insurance to finance property with federal or federally related mortgage loans. In designated areas, flood insurance is required on all types of buildings—residential, commercial, industrial, or </w:t>
      </w:r>
      <w:r w:rsidRPr="00807273">
        <w:lastRenderedPageBreak/>
        <w:t>agricultural. If a borrower can produce a survey showing that the lowest part of the building is located above the 100-year flood mark, the borrower may be exempted from the flood insurance requirement, even if the property is in a flood-prone area.</w:t>
      </w:r>
    </w:p>
    <w:p w14:paraId="0F4BEEBD"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AAA5" w14:textId="77777777" w:rsidR="00923E57" w:rsidRDefault="00923E57" w:rsidP="00A41FED">
      <w:r>
        <w:separator/>
      </w:r>
    </w:p>
  </w:endnote>
  <w:endnote w:type="continuationSeparator" w:id="0">
    <w:p w14:paraId="1345EB97" w14:textId="77777777" w:rsidR="00923E57" w:rsidRDefault="00923E57" w:rsidP="00A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884309"/>
      <w:docPartObj>
        <w:docPartGallery w:val="Page Numbers (Bottom of Page)"/>
        <w:docPartUnique/>
      </w:docPartObj>
    </w:sdtPr>
    <w:sdtEndPr>
      <w:rPr>
        <w:noProof/>
      </w:rPr>
    </w:sdtEndPr>
    <w:sdtContent>
      <w:p w14:paraId="60F0AAC4" w14:textId="60580F63" w:rsidR="00A41FED" w:rsidRDefault="00A41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664DC6" w14:textId="77777777" w:rsidR="00A41FED" w:rsidRDefault="00A41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DAD7" w14:textId="77777777" w:rsidR="00923E57" w:rsidRDefault="00923E57" w:rsidP="00A41FED">
      <w:r>
        <w:separator/>
      </w:r>
    </w:p>
  </w:footnote>
  <w:footnote w:type="continuationSeparator" w:id="0">
    <w:p w14:paraId="299E39C7" w14:textId="77777777" w:rsidR="00923E57" w:rsidRDefault="00923E57" w:rsidP="00A4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D6A"/>
    <w:multiLevelType w:val="hybridMultilevel"/>
    <w:tmpl w:val="32F6917C"/>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7743C"/>
    <w:multiLevelType w:val="hybridMultilevel"/>
    <w:tmpl w:val="0414CBF4"/>
    <w:lvl w:ilvl="0" w:tplc="0C6A91F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ED"/>
    <w:rsid w:val="00225B9E"/>
    <w:rsid w:val="00923E57"/>
    <w:rsid w:val="00A4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A646"/>
  <w15:chartTrackingRefBased/>
  <w15:docId w15:val="{14BD6765-0806-4D55-B925-05ED8C59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E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41FED"/>
    <w:pPr>
      <w:spacing w:before="100" w:beforeAutospacing="1" w:after="100" w:afterAutospacing="1"/>
    </w:pPr>
    <w:rPr>
      <w:szCs w:val="24"/>
    </w:rPr>
  </w:style>
  <w:style w:type="paragraph" w:customStyle="1" w:styleId="CapitalLetter">
    <w:name w:val="Capital Letter"/>
    <w:basedOn w:val="NormalWeb"/>
    <w:autoRedefine/>
    <w:rsid w:val="00A41FED"/>
    <w:pPr>
      <w:spacing w:before="0" w:beforeAutospacing="0" w:after="0" w:afterAutospacing="0"/>
      <w:ind w:left="1440" w:hanging="720"/>
    </w:pPr>
    <w:rPr>
      <w:bCs/>
    </w:rPr>
  </w:style>
  <w:style w:type="paragraph" w:customStyle="1" w:styleId="RomanNumeral">
    <w:name w:val="Roman Numeral"/>
    <w:basedOn w:val="NormalWeb"/>
    <w:autoRedefine/>
    <w:rsid w:val="00A41FED"/>
    <w:pPr>
      <w:spacing w:before="0" w:after="0"/>
      <w:ind w:left="1440" w:hanging="720"/>
    </w:pPr>
    <w:rPr>
      <w:bCs/>
    </w:rPr>
  </w:style>
  <w:style w:type="paragraph" w:customStyle="1" w:styleId="Numbers">
    <w:name w:val="Numbers"/>
    <w:basedOn w:val="NormalWeb"/>
    <w:autoRedefine/>
    <w:rsid w:val="00A41FED"/>
    <w:pPr>
      <w:spacing w:before="0" w:beforeAutospacing="0" w:after="0" w:afterAutospacing="0"/>
      <w:ind w:left="2160" w:hanging="720"/>
    </w:pPr>
    <w:rPr>
      <w:bCs/>
    </w:rPr>
  </w:style>
  <w:style w:type="paragraph" w:customStyle="1" w:styleId="blanklineprint">
    <w:name w:val="blank line (print)"/>
    <w:basedOn w:val="Normal"/>
    <w:autoRedefine/>
    <w:rsid w:val="00A41FED"/>
    <w:rPr>
      <w:szCs w:val="24"/>
    </w:rPr>
  </w:style>
  <w:style w:type="paragraph" w:styleId="ListParagraph">
    <w:name w:val="List Paragraph"/>
    <w:basedOn w:val="Normal"/>
    <w:uiPriority w:val="99"/>
    <w:qFormat/>
    <w:rsid w:val="00A41FED"/>
    <w:pPr>
      <w:ind w:left="720"/>
      <w:contextualSpacing/>
    </w:pPr>
    <w:rPr>
      <w:rFonts w:eastAsia="Calibri"/>
      <w:szCs w:val="24"/>
    </w:rPr>
  </w:style>
  <w:style w:type="character" w:customStyle="1" w:styleId="NormalWebChar">
    <w:name w:val="Normal (Web) Char"/>
    <w:basedOn w:val="DefaultParagraphFont"/>
    <w:link w:val="NormalWeb"/>
    <w:rsid w:val="00A41FE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FED"/>
    <w:pPr>
      <w:tabs>
        <w:tab w:val="center" w:pos="4680"/>
        <w:tab w:val="right" w:pos="9360"/>
      </w:tabs>
    </w:pPr>
  </w:style>
  <w:style w:type="character" w:customStyle="1" w:styleId="HeaderChar">
    <w:name w:val="Header Char"/>
    <w:basedOn w:val="DefaultParagraphFont"/>
    <w:link w:val="Header"/>
    <w:uiPriority w:val="99"/>
    <w:rsid w:val="00A41F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1FED"/>
    <w:pPr>
      <w:tabs>
        <w:tab w:val="center" w:pos="4680"/>
        <w:tab w:val="right" w:pos="9360"/>
      </w:tabs>
    </w:pPr>
  </w:style>
  <w:style w:type="character" w:customStyle="1" w:styleId="FooterChar">
    <w:name w:val="Footer Char"/>
    <w:basedOn w:val="DefaultParagraphFont"/>
    <w:link w:val="Footer"/>
    <w:uiPriority w:val="99"/>
    <w:rsid w:val="00A41F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2021-07-03T17:48:00Z</dcterms:created>
  <dcterms:modified xsi:type="dcterms:W3CDTF">2021-07-03T17:50:00Z</dcterms:modified>
</cp:coreProperties>
</file>